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87B6" w14:textId="4C062337" w:rsidR="00A811F1" w:rsidRPr="00DA1C04" w:rsidRDefault="00290487" w:rsidP="000A62D0">
      <w:pPr>
        <w:spacing w:line="240" w:lineRule="auto"/>
        <w:jc w:val="center"/>
        <w:rPr>
          <w:rFonts w:eastAsia="+mn-ea" w:cstheme="minorHAnsi"/>
          <w:b/>
          <w:bCs/>
          <w:kern w:val="3"/>
          <w:sz w:val="24"/>
          <w:szCs w:val="24"/>
          <w:lang w:eastAsia="es-PA"/>
        </w:rPr>
      </w:pPr>
      <w:r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>Evaluación de alternativas</w:t>
      </w:r>
      <w:r w:rsidR="00F46A2B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de</w:t>
      </w:r>
      <w:r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depuración de</w:t>
      </w:r>
      <w:r w:rsidR="007616FE"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</w:t>
      </w:r>
      <w:r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aguas residuales </w:t>
      </w:r>
      <w:r w:rsidR="007616FE"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>del lavado</w:t>
      </w:r>
      <w:r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de</w:t>
      </w:r>
      <w:r w:rsidR="007616FE"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raíces</w:t>
      </w:r>
      <w:r w:rsidR="00F46A2B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de</w:t>
      </w:r>
      <w:r w:rsidRPr="00DA1C04">
        <w:rPr>
          <w:rFonts w:eastAsia="Times New Roman" w:cstheme="minorHAnsi"/>
          <w:b/>
          <w:bCs/>
          <w:sz w:val="24"/>
          <w:szCs w:val="24"/>
          <w:lang w:val="es-MX" w:eastAsia="es-PA"/>
        </w:rPr>
        <w:t xml:space="preserve"> yuca</w:t>
      </w:r>
      <w:r w:rsidRPr="00DA1C04">
        <w:rPr>
          <w:rFonts w:eastAsia="Times New Roman" w:cstheme="minorHAnsi"/>
          <w:b/>
          <w:kern w:val="3"/>
          <w:sz w:val="24"/>
          <w:szCs w:val="24"/>
          <w:vertAlign w:val="superscript"/>
          <w:lang w:val="es-ES" w:eastAsia="es-MX"/>
        </w:rPr>
        <w:t xml:space="preserve"> </w:t>
      </w:r>
      <w:r w:rsidR="0019707E" w:rsidRPr="00DA1C04">
        <w:rPr>
          <w:rFonts w:eastAsia="Times New Roman" w:cstheme="minorHAnsi"/>
          <w:b/>
          <w:kern w:val="3"/>
          <w:sz w:val="24"/>
          <w:szCs w:val="24"/>
          <w:vertAlign w:val="superscript"/>
          <w:lang w:val="es-ES" w:eastAsia="es-MX"/>
        </w:rPr>
        <w:t>1</w:t>
      </w:r>
    </w:p>
    <w:p w14:paraId="41FA391D" w14:textId="14E7460D" w:rsidR="00A811F1" w:rsidRPr="00DA1C04" w:rsidRDefault="00A811F1" w:rsidP="00290487">
      <w:pPr>
        <w:jc w:val="center"/>
        <w:rPr>
          <w:rFonts w:eastAsia="+mn-ea" w:cstheme="minorHAnsi"/>
          <w:b/>
          <w:bCs/>
          <w:i/>
          <w:kern w:val="3"/>
          <w:lang w:eastAsia="es-PA"/>
        </w:rPr>
      </w:pPr>
      <w:r w:rsidRPr="00DA1C04">
        <w:rPr>
          <w:rFonts w:eastAsia="+mn-ea" w:cstheme="minorHAnsi"/>
          <w:b/>
          <w:bCs/>
          <w:i/>
          <w:kern w:val="3"/>
          <w:u w:val="single"/>
          <w:lang w:eastAsia="es-PA"/>
        </w:rPr>
        <w:t>Rodolfo Morale</w:t>
      </w:r>
      <w:r w:rsidR="006C01CD" w:rsidRPr="00DA1C04">
        <w:rPr>
          <w:rFonts w:eastAsia="+mn-ea" w:cstheme="minorHAnsi"/>
          <w:b/>
          <w:bCs/>
          <w:i/>
          <w:kern w:val="3"/>
          <w:u w:val="single"/>
          <w:lang w:eastAsia="es-PA"/>
        </w:rPr>
        <w:t>s</w:t>
      </w:r>
      <w:r w:rsidR="006C01CD" w:rsidRPr="00DA1C04">
        <w:rPr>
          <w:rFonts w:eastAsia="+mn-ea" w:cstheme="minorHAnsi"/>
          <w:b/>
          <w:bCs/>
          <w:i/>
          <w:kern w:val="3"/>
          <w:u w:val="single"/>
          <w:vertAlign w:val="superscript"/>
          <w:lang w:eastAsia="es-PA"/>
        </w:rPr>
        <w:t>2</w:t>
      </w:r>
    </w:p>
    <w:p w14:paraId="2EDEF866" w14:textId="1CA6186D" w:rsidR="003437AA" w:rsidRPr="003437AA" w:rsidRDefault="0057151D" w:rsidP="00343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es-PA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PA"/>
        </w:rPr>
        <w:t xml:space="preserve"> </w:t>
      </w:r>
    </w:p>
    <w:p w14:paraId="0E06FB55" w14:textId="4D294402" w:rsidR="00A811F1" w:rsidRPr="003437AA" w:rsidRDefault="0057151D" w:rsidP="00071C99">
      <w:pPr>
        <w:jc w:val="both"/>
        <w:rPr>
          <w:rFonts w:eastAsia="+mn-ea" w:cstheme="minorHAnsi"/>
          <w:b/>
          <w:bCs/>
          <w:kern w:val="3"/>
          <w:sz w:val="40"/>
          <w:szCs w:val="40"/>
          <w:lang w:eastAsia="es-PA"/>
        </w:rPr>
      </w:pPr>
      <w:r>
        <w:rPr>
          <w:rFonts w:eastAsia="+mn-ea" w:cstheme="minorHAnsi"/>
          <w:b/>
          <w:bCs/>
          <w:kern w:val="3"/>
          <w:sz w:val="40"/>
          <w:szCs w:val="40"/>
          <w:lang w:eastAsia="es-PA"/>
        </w:rPr>
        <w:t xml:space="preserve"> </w:t>
      </w:r>
    </w:p>
    <w:p w14:paraId="27A50AA3" w14:textId="1435782F" w:rsidR="000E6843" w:rsidRPr="00BD30B7" w:rsidRDefault="000A62D0" w:rsidP="00394F74">
      <w:pPr>
        <w:jc w:val="both"/>
        <w:rPr>
          <w:rFonts w:ascii="Arial" w:eastAsia="Times New Roman" w:hAnsi="Arial" w:cs="Arial"/>
          <w:sz w:val="24"/>
          <w:szCs w:val="24"/>
          <w:lang w:val="es-ES" w:eastAsia="zh-CN"/>
        </w:rPr>
      </w:pPr>
      <w:bookmarkStart w:id="0" w:name="_Hlk133351748"/>
      <w:r w:rsidRPr="000A62D0">
        <w:rPr>
          <w:rFonts w:eastAsia="Times New Roman" w:cstheme="minorHAnsi"/>
          <w:b/>
          <w:bCs/>
          <w:lang w:val="es-ES" w:eastAsia="zh-CN"/>
        </w:rPr>
        <w:t>Introducción</w:t>
      </w:r>
      <w:r>
        <w:rPr>
          <w:rFonts w:eastAsia="Times New Roman" w:cstheme="minorHAnsi"/>
          <w:lang w:val="es-ES" w:eastAsia="zh-CN"/>
        </w:rPr>
        <w:t>.</w:t>
      </w:r>
      <w:r w:rsidR="00BD30B7" w:rsidRPr="00BD30B7">
        <w:rPr>
          <w:rFonts w:ascii="Arial" w:eastAsia="Times New Roman" w:hAnsi="Arial" w:cs="Arial"/>
          <w:bCs/>
          <w:lang w:val="es-ES" w:eastAsia="zh-CN"/>
        </w:rPr>
        <w:t xml:space="preserve"> </w:t>
      </w:r>
      <w:r w:rsidR="007616FE" w:rsidRPr="00BD6F03">
        <w:rPr>
          <w:rFonts w:eastAsia="Times New Roman" w:cstheme="minorHAnsi"/>
          <w:bCs/>
          <w:lang w:val="es-ES" w:eastAsia="zh-CN"/>
        </w:rPr>
        <w:t>El procesamiento</w:t>
      </w:r>
      <w:r w:rsidR="00BD6F03" w:rsidRPr="00BD6F03">
        <w:rPr>
          <w:rFonts w:eastAsia="Times New Roman" w:cstheme="minorHAnsi"/>
          <w:bCs/>
          <w:lang w:val="es-ES" w:eastAsia="zh-CN"/>
        </w:rPr>
        <w:t xml:space="preserve"> total</w:t>
      </w:r>
      <w:r w:rsidR="00BD30B7" w:rsidRPr="00BD6F03">
        <w:rPr>
          <w:rFonts w:eastAsia="Times New Roman" w:cstheme="minorHAnsi"/>
          <w:bCs/>
          <w:lang w:val="es-ES" w:eastAsia="zh-CN"/>
        </w:rPr>
        <w:t xml:space="preserve"> de la raíz de yuca</w:t>
      </w:r>
      <w:r w:rsidR="007616FE" w:rsidRPr="00BD6F03">
        <w:rPr>
          <w:rFonts w:eastAsia="Times New Roman" w:cstheme="minorHAnsi"/>
          <w:bCs/>
          <w:lang w:val="es-ES" w:eastAsia="zh-CN"/>
        </w:rPr>
        <w:t xml:space="preserve"> co</w:t>
      </w:r>
      <w:r w:rsidR="0025567C">
        <w:rPr>
          <w:rFonts w:eastAsia="Times New Roman" w:cstheme="minorHAnsi"/>
          <w:bCs/>
          <w:lang w:val="es-ES" w:eastAsia="zh-CN"/>
        </w:rPr>
        <w:t>nsume más</w:t>
      </w:r>
      <w:r w:rsidR="00BD30B7" w:rsidRPr="00BD6F03">
        <w:rPr>
          <w:rFonts w:eastAsia="Times New Roman" w:cstheme="minorHAnsi"/>
          <w:bCs/>
          <w:lang w:val="es-ES" w:eastAsia="zh-CN"/>
        </w:rPr>
        <w:t xml:space="preserve"> de cuatro toneladas de agua por tonelada de yuca. </w:t>
      </w:r>
      <w:r w:rsidR="0025567C">
        <w:rPr>
          <w:rFonts w:eastAsia="Times New Roman" w:cstheme="minorHAnsi"/>
          <w:bCs/>
          <w:lang w:val="es-ES" w:eastAsia="zh-CN"/>
        </w:rPr>
        <w:t>Estas</w:t>
      </w:r>
      <w:r w:rsidR="007616FE" w:rsidRPr="00BD6F03">
        <w:rPr>
          <w:rFonts w:eastAsia="Times New Roman" w:cstheme="minorHAnsi"/>
          <w:bCs/>
          <w:lang w:val="es-ES" w:eastAsia="zh-CN"/>
        </w:rPr>
        <w:t xml:space="preserve"> aguas residuales </w:t>
      </w:r>
      <w:r w:rsidR="0025567C">
        <w:rPr>
          <w:rFonts w:eastAsia="Times New Roman" w:cstheme="minorHAnsi"/>
          <w:bCs/>
          <w:lang w:val="es-ES" w:eastAsia="zh-CN"/>
        </w:rPr>
        <w:t>tienen</w:t>
      </w:r>
      <w:r w:rsidR="007616FE" w:rsidRPr="00BD6F03">
        <w:rPr>
          <w:rFonts w:eastAsia="Times New Roman" w:cstheme="minorHAnsi"/>
          <w:bCs/>
          <w:lang w:val="es-ES" w:eastAsia="zh-CN"/>
        </w:rPr>
        <w:t xml:space="preserve"> una </w:t>
      </w:r>
      <w:r w:rsidR="00BD30B7" w:rsidRPr="00BD6F03">
        <w:rPr>
          <w:rFonts w:eastAsia="Times New Roman" w:cstheme="minorHAnsi"/>
          <w:bCs/>
          <w:lang w:val="es-ES" w:eastAsia="zh-CN"/>
        </w:rPr>
        <w:t>demanda biológica de oxígeno de DBO</w:t>
      </w:r>
      <w:r w:rsidR="00BD30B7" w:rsidRPr="00BD6F03">
        <w:rPr>
          <w:rFonts w:eastAsia="Times New Roman" w:cstheme="minorHAnsi"/>
          <w:bCs/>
          <w:vertAlign w:val="subscript"/>
          <w:lang w:val="es-ES" w:eastAsia="zh-CN"/>
        </w:rPr>
        <w:t>5</w:t>
      </w:r>
      <w:r w:rsidR="00BD30B7" w:rsidRPr="00BD6F03">
        <w:rPr>
          <w:rFonts w:eastAsia="Times New Roman" w:cstheme="minorHAnsi"/>
          <w:bCs/>
          <w:lang w:val="es-ES" w:eastAsia="zh-CN"/>
        </w:rPr>
        <w:t xml:space="preserve"> a 20° de 3988 (mg de O</w:t>
      </w:r>
      <w:r w:rsidR="00BD30B7" w:rsidRPr="00BD6F03">
        <w:rPr>
          <w:rFonts w:eastAsia="Times New Roman" w:cstheme="minorHAnsi"/>
          <w:bCs/>
          <w:vertAlign w:val="subscript"/>
          <w:lang w:val="es-ES" w:eastAsia="zh-CN"/>
        </w:rPr>
        <w:t>2</w:t>
      </w:r>
      <w:r w:rsidR="00BD30B7" w:rsidRPr="00BD6F03">
        <w:rPr>
          <w:rFonts w:eastAsia="Times New Roman" w:cstheme="minorHAnsi"/>
          <w:bCs/>
          <w:lang w:val="es-ES" w:eastAsia="zh-CN"/>
        </w:rPr>
        <w:t>/L), demanda química de oxígeno de DQO total de 4944 (mg O</w:t>
      </w:r>
      <w:r w:rsidR="00BD30B7" w:rsidRPr="00BD6F03">
        <w:rPr>
          <w:rFonts w:eastAsia="Times New Roman" w:cstheme="minorHAnsi"/>
          <w:bCs/>
          <w:vertAlign w:val="subscript"/>
          <w:lang w:val="es-ES" w:eastAsia="zh-CN"/>
        </w:rPr>
        <w:t>2</w:t>
      </w:r>
      <w:r w:rsidR="00BD30B7" w:rsidRPr="00BD6F03">
        <w:rPr>
          <w:rFonts w:eastAsia="Times New Roman" w:cstheme="minorHAnsi"/>
          <w:bCs/>
          <w:lang w:val="es-ES" w:eastAsia="zh-CN"/>
        </w:rPr>
        <w:t>/L)</w:t>
      </w:r>
      <w:r w:rsidR="007616FE" w:rsidRPr="00BD6F03">
        <w:rPr>
          <w:rFonts w:eastAsia="Times New Roman" w:cstheme="minorHAnsi"/>
          <w:bCs/>
          <w:lang w:val="es-ES" w:eastAsia="zh-CN"/>
        </w:rPr>
        <w:t xml:space="preserve"> y</w:t>
      </w:r>
      <w:r w:rsidR="00BD30B7" w:rsidRPr="00BD6F03">
        <w:rPr>
          <w:rFonts w:eastAsia="Times New Roman" w:cstheme="minorHAnsi"/>
          <w:bCs/>
          <w:lang w:val="es-ES" w:eastAsia="zh-CN"/>
        </w:rPr>
        <w:t xml:space="preserve"> sólidos suspendidos totales 1190 (mg/L)</w:t>
      </w:r>
      <w:r w:rsidR="00F46A2B">
        <w:rPr>
          <w:rFonts w:eastAsia="Times New Roman" w:cstheme="minorHAnsi"/>
          <w:bCs/>
          <w:lang w:val="es-ES" w:eastAsia="zh-CN"/>
        </w:rPr>
        <w:t xml:space="preserve">.  </w:t>
      </w:r>
      <w:r w:rsidR="00BD30B7" w:rsidRPr="00BD6F03">
        <w:rPr>
          <w:rFonts w:eastAsia="Times New Roman" w:cstheme="minorHAnsi"/>
          <w:lang w:val="es-ES" w:eastAsia="zh-CN"/>
        </w:rPr>
        <w:t>Los sólidos suspendidos total</w:t>
      </w:r>
      <w:r w:rsidR="00BD6F03">
        <w:rPr>
          <w:rFonts w:eastAsia="Times New Roman" w:cstheme="minorHAnsi"/>
          <w:lang w:val="es-ES" w:eastAsia="zh-CN"/>
        </w:rPr>
        <w:t>es</w:t>
      </w:r>
      <w:r w:rsidR="00BD30B7" w:rsidRPr="00BD6F03">
        <w:rPr>
          <w:rFonts w:eastAsia="Times New Roman" w:cstheme="minorHAnsi"/>
          <w:lang w:val="es-ES" w:eastAsia="zh-CN"/>
        </w:rPr>
        <w:t xml:space="preserve"> están directamente relacionados con la turbidez la cual se mide en Unidades Nefelométricas de Turbidez (UNT).</w:t>
      </w:r>
      <w:r w:rsidR="004940FE" w:rsidRPr="004940FE">
        <w:rPr>
          <w:rFonts w:eastAsia="Times New Roman" w:cstheme="minorHAnsi"/>
          <w:lang w:val="es-ES" w:eastAsia="zh-CN"/>
        </w:rPr>
        <w:t xml:space="preserve"> </w:t>
      </w:r>
      <w:r w:rsidR="004940FE" w:rsidRPr="00BD6F03">
        <w:rPr>
          <w:rFonts w:eastAsia="Times New Roman" w:cstheme="minorHAnsi"/>
          <w:lang w:val="es-ES" w:eastAsia="zh-CN"/>
        </w:rPr>
        <w:t xml:space="preserve">Este parámetro es </w:t>
      </w:r>
      <w:r w:rsidR="0025567C">
        <w:rPr>
          <w:rFonts w:eastAsia="Times New Roman" w:cstheme="minorHAnsi"/>
          <w:lang w:val="es-ES" w:eastAsia="zh-CN"/>
        </w:rPr>
        <w:t>el</w:t>
      </w:r>
      <w:r w:rsidR="004940FE" w:rsidRPr="00BD6F03">
        <w:rPr>
          <w:rFonts w:eastAsia="Times New Roman" w:cstheme="minorHAnsi"/>
          <w:lang w:val="es-ES" w:eastAsia="zh-CN"/>
        </w:rPr>
        <w:t xml:space="preserve"> más importantes para medir la calidad del agua potable.</w:t>
      </w:r>
      <w:r w:rsidR="004940FE">
        <w:rPr>
          <w:rFonts w:ascii="Arial" w:eastAsia="Times New Roman" w:hAnsi="Arial" w:cs="Arial"/>
          <w:sz w:val="24"/>
          <w:szCs w:val="24"/>
          <w:lang w:val="es-ES" w:eastAsia="zh-CN"/>
        </w:rPr>
        <w:t xml:space="preserve"> </w:t>
      </w:r>
      <w:r w:rsidR="004940FE">
        <w:rPr>
          <w:rFonts w:eastAsia="Times New Roman" w:cstheme="minorHAnsi"/>
          <w:lang w:val="es-ES" w:eastAsia="zh-CN"/>
        </w:rPr>
        <w:t xml:space="preserve"> Según la Organización Mundial de la Salud (OMS), la turbidez del agua potable no debe superar 5 NTU y lo ideal es menor de 1 NTU.</w:t>
      </w:r>
      <w:r w:rsidR="00745570" w:rsidRPr="00BD6F03">
        <w:rPr>
          <w:rFonts w:eastAsia="Times New Roman" w:cstheme="minorHAnsi"/>
          <w:lang w:val="es-ES" w:eastAsia="zh-CN"/>
        </w:rPr>
        <w:t xml:space="preserve"> </w:t>
      </w:r>
      <w:r w:rsidR="007003FA" w:rsidRPr="007003FA">
        <w:rPr>
          <w:rFonts w:eastAsia="Times New Roman" w:cstheme="minorHAnsi"/>
          <w:b/>
          <w:bCs/>
          <w:lang w:val="es-ES" w:eastAsia="zh-CN"/>
        </w:rPr>
        <w:t>Objetivo</w:t>
      </w:r>
      <w:r w:rsidR="007003FA">
        <w:rPr>
          <w:rFonts w:eastAsia="Times New Roman" w:cstheme="minorHAnsi"/>
          <w:lang w:val="es-ES" w:eastAsia="zh-CN"/>
        </w:rPr>
        <w:t>.</w:t>
      </w:r>
      <w:r w:rsidR="00BD30B7">
        <w:rPr>
          <w:rFonts w:eastAsia="Times New Roman" w:cstheme="minorHAnsi"/>
          <w:lang w:val="es-ES" w:eastAsia="zh-CN"/>
        </w:rPr>
        <w:t xml:space="preserve"> Evaluar la calidad de</w:t>
      </w:r>
      <w:r w:rsidR="00672A4E">
        <w:rPr>
          <w:rFonts w:eastAsia="Times New Roman" w:cstheme="minorHAnsi"/>
          <w:lang w:val="es-ES" w:eastAsia="zh-CN"/>
        </w:rPr>
        <w:t>l</w:t>
      </w:r>
      <w:r w:rsidR="00BD30B7">
        <w:rPr>
          <w:rFonts w:eastAsia="Times New Roman" w:cstheme="minorHAnsi"/>
          <w:lang w:val="es-ES" w:eastAsia="zh-CN"/>
        </w:rPr>
        <w:t xml:space="preserve"> agua del lavado de raíces frescas de yuca</w:t>
      </w:r>
      <w:r w:rsidR="00672A4E">
        <w:rPr>
          <w:rFonts w:eastAsia="Times New Roman" w:cstheme="minorHAnsi"/>
          <w:lang w:val="es-ES" w:eastAsia="zh-CN"/>
        </w:rPr>
        <w:t xml:space="preserve"> </w:t>
      </w:r>
      <w:r w:rsidR="00BD30B7">
        <w:rPr>
          <w:rFonts w:eastAsia="Times New Roman" w:cstheme="minorHAnsi"/>
          <w:lang w:val="es-ES" w:eastAsia="zh-CN"/>
        </w:rPr>
        <w:t>después de su decantación, filtración, centrifugación y decoloración con carbón activado de cascara de arroz y</w:t>
      </w:r>
      <w:r w:rsidR="00810782">
        <w:rPr>
          <w:rFonts w:eastAsia="Times New Roman" w:cstheme="minorHAnsi"/>
          <w:lang w:val="es-ES" w:eastAsia="zh-CN"/>
        </w:rPr>
        <w:t xml:space="preserve"> carbón activado</w:t>
      </w:r>
      <w:r w:rsidR="00BD30B7">
        <w:rPr>
          <w:rFonts w:eastAsia="Times New Roman" w:cstheme="minorHAnsi"/>
          <w:lang w:val="es-ES" w:eastAsia="zh-CN"/>
        </w:rPr>
        <w:t xml:space="preserve"> comercial</w:t>
      </w:r>
      <w:r w:rsidR="00BD30B7" w:rsidRPr="0057151D">
        <w:rPr>
          <w:rFonts w:eastAsia="Times New Roman" w:cstheme="minorHAnsi"/>
          <w:lang w:val="es-ES" w:eastAsia="zh-CN"/>
        </w:rPr>
        <w:t>.</w:t>
      </w:r>
      <w:r w:rsidR="00F1797C" w:rsidRPr="0057151D">
        <w:rPr>
          <w:rFonts w:eastAsia="Times New Roman" w:cstheme="minorHAnsi"/>
          <w:lang w:val="es-ES" w:eastAsia="zh-CN"/>
        </w:rPr>
        <w:t xml:space="preserve"> </w:t>
      </w:r>
      <w:r w:rsidR="001F3512" w:rsidRPr="0057151D">
        <w:rPr>
          <w:rFonts w:eastAsia="Times New Roman" w:cstheme="minorHAnsi"/>
          <w:lang w:val="es-ES" w:eastAsia="zh-CN"/>
        </w:rPr>
        <w:t xml:space="preserve"> </w:t>
      </w:r>
      <w:r w:rsidR="00290487" w:rsidRPr="0057151D">
        <w:rPr>
          <w:rFonts w:eastAsia="Times New Roman" w:cstheme="minorHAnsi"/>
          <w:lang w:val="es-ES" w:eastAsia="zh-CN"/>
        </w:rPr>
        <w:t xml:space="preserve"> </w:t>
      </w:r>
      <w:r w:rsidR="000E6843" w:rsidRPr="0057151D">
        <w:rPr>
          <w:rFonts w:eastAsia="Times New Roman" w:cstheme="minorHAnsi"/>
          <w:lang w:val="es-ES" w:eastAsia="zh-CN"/>
        </w:rPr>
        <w:t xml:space="preserve"> </w:t>
      </w:r>
      <w:r w:rsidR="007003FA" w:rsidRPr="0057151D">
        <w:rPr>
          <w:rFonts w:eastAsia="Times New Roman" w:cstheme="minorHAnsi"/>
          <w:b/>
          <w:bCs/>
          <w:lang w:val="es-ES" w:eastAsia="zh-CN"/>
        </w:rPr>
        <w:t>Materiales y Métodos</w:t>
      </w:r>
      <w:r w:rsidR="007003FA">
        <w:rPr>
          <w:rFonts w:eastAsia="Times New Roman" w:cstheme="minorHAnsi"/>
          <w:lang w:val="es-ES" w:eastAsia="zh-CN"/>
        </w:rPr>
        <w:t>.</w:t>
      </w:r>
      <w:r w:rsidR="00810782">
        <w:rPr>
          <w:rFonts w:eastAsia="Times New Roman" w:cstheme="minorHAnsi"/>
          <w:lang w:val="es-ES" w:eastAsia="zh-CN"/>
        </w:rPr>
        <w:t xml:space="preserve"> </w:t>
      </w:r>
      <w:r w:rsidR="00672A4E">
        <w:rPr>
          <w:rFonts w:eastAsia="Times New Roman" w:cstheme="minorHAnsi"/>
          <w:lang w:val="es-ES" w:eastAsia="zh-CN"/>
        </w:rPr>
        <w:t>U</w:t>
      </w:r>
      <w:r w:rsidR="002E4E89">
        <w:rPr>
          <w:rFonts w:eastAsia="Times New Roman" w:cstheme="minorHAnsi"/>
          <w:lang w:val="es-ES" w:eastAsia="zh-CN"/>
        </w:rPr>
        <w:t xml:space="preserve">na muestra de carbón de cáscara de arroz, se molió finamente y se activó por simple calefacción a 400 °C durante cuatro horas. </w:t>
      </w:r>
      <w:r w:rsidR="00741892">
        <w:rPr>
          <w:rFonts w:eastAsia="Times New Roman" w:cstheme="minorHAnsi"/>
          <w:lang w:val="es-ES" w:eastAsia="zh-CN"/>
        </w:rPr>
        <w:t>Una m</w:t>
      </w:r>
      <w:r w:rsidR="00BD30B7">
        <w:rPr>
          <w:rFonts w:eastAsia="Times New Roman" w:cstheme="minorHAnsi"/>
          <w:lang w:val="es-ES" w:eastAsia="zh-CN"/>
        </w:rPr>
        <w:t xml:space="preserve">uestra de 8 litros de agua del lavado de raíces frescas de </w:t>
      </w:r>
      <w:r w:rsidR="00AE2438">
        <w:rPr>
          <w:rFonts w:eastAsia="Times New Roman" w:cstheme="minorHAnsi"/>
          <w:lang w:val="es-ES" w:eastAsia="zh-CN"/>
        </w:rPr>
        <w:t>yuca</w:t>
      </w:r>
      <w:r w:rsidR="00BD30B7">
        <w:rPr>
          <w:rFonts w:eastAsia="Times New Roman" w:cstheme="minorHAnsi"/>
          <w:lang w:val="es-ES" w:eastAsia="zh-CN"/>
        </w:rPr>
        <w:t xml:space="preserve"> se decantó, se filtró</w:t>
      </w:r>
      <w:r w:rsidR="0065079D">
        <w:rPr>
          <w:rFonts w:eastAsia="Times New Roman" w:cstheme="minorHAnsi"/>
          <w:lang w:val="es-ES" w:eastAsia="zh-CN"/>
        </w:rPr>
        <w:t xml:space="preserve"> </w:t>
      </w:r>
      <w:r w:rsidR="00C62302">
        <w:rPr>
          <w:rFonts w:eastAsia="Times New Roman" w:cstheme="minorHAnsi"/>
          <w:lang w:val="es-ES" w:eastAsia="zh-CN"/>
        </w:rPr>
        <w:t>con</w:t>
      </w:r>
      <w:r w:rsidR="0065079D">
        <w:rPr>
          <w:rFonts w:eastAsia="Times New Roman" w:cstheme="minorHAnsi"/>
          <w:lang w:val="es-ES" w:eastAsia="zh-CN"/>
        </w:rPr>
        <w:t xml:space="preserve"> arena</w:t>
      </w:r>
      <w:r w:rsidR="00BD30B7">
        <w:rPr>
          <w:rFonts w:eastAsia="Times New Roman" w:cstheme="minorHAnsi"/>
          <w:lang w:val="es-ES" w:eastAsia="zh-CN"/>
        </w:rPr>
        <w:t xml:space="preserve"> y se </w:t>
      </w:r>
      <w:r w:rsidR="0065079D">
        <w:rPr>
          <w:rFonts w:eastAsia="Times New Roman" w:cstheme="minorHAnsi"/>
          <w:lang w:val="es-ES" w:eastAsia="zh-CN"/>
        </w:rPr>
        <w:t>centrifugó</w:t>
      </w:r>
      <w:r w:rsidR="007003FA">
        <w:rPr>
          <w:rFonts w:eastAsia="Times New Roman" w:cstheme="minorHAnsi"/>
          <w:lang w:val="es-ES" w:eastAsia="zh-CN"/>
        </w:rPr>
        <w:t xml:space="preserve"> </w:t>
      </w:r>
      <w:r w:rsidR="0065079D">
        <w:rPr>
          <w:rFonts w:eastAsia="Times New Roman" w:cstheme="minorHAnsi"/>
          <w:lang w:val="es-ES" w:eastAsia="zh-CN"/>
        </w:rPr>
        <w:t>en una descremadora de leche. Se tomó muestras</w:t>
      </w:r>
      <w:r w:rsidR="00672A4E">
        <w:rPr>
          <w:rFonts w:eastAsia="Times New Roman" w:cstheme="minorHAnsi"/>
          <w:lang w:val="es-ES" w:eastAsia="zh-CN"/>
        </w:rPr>
        <w:t xml:space="preserve"> </w:t>
      </w:r>
      <w:r w:rsidR="0065079D">
        <w:rPr>
          <w:rFonts w:eastAsia="Times New Roman" w:cstheme="minorHAnsi"/>
          <w:lang w:val="es-ES" w:eastAsia="zh-CN"/>
        </w:rPr>
        <w:t>después del filtro</w:t>
      </w:r>
      <w:r w:rsidR="00E240E5">
        <w:rPr>
          <w:rFonts w:eastAsia="Times New Roman" w:cstheme="minorHAnsi"/>
          <w:lang w:val="es-ES" w:eastAsia="zh-CN"/>
        </w:rPr>
        <w:t xml:space="preserve"> de arena</w:t>
      </w:r>
      <w:r w:rsidR="00810782">
        <w:rPr>
          <w:rFonts w:eastAsia="Times New Roman" w:cstheme="minorHAnsi"/>
          <w:lang w:val="es-ES" w:eastAsia="zh-CN"/>
        </w:rPr>
        <w:t xml:space="preserve"> (Tratamiento T1</w:t>
      </w:r>
      <w:r w:rsidR="0007320B">
        <w:rPr>
          <w:rFonts w:eastAsia="Times New Roman" w:cstheme="minorHAnsi"/>
          <w:lang w:val="es-ES" w:eastAsia="zh-CN"/>
        </w:rPr>
        <w:t>)</w:t>
      </w:r>
      <w:r w:rsidR="0065079D">
        <w:rPr>
          <w:rFonts w:eastAsia="Times New Roman" w:cstheme="minorHAnsi"/>
          <w:lang w:val="es-ES" w:eastAsia="zh-CN"/>
        </w:rPr>
        <w:t>, del sobrenadante</w:t>
      </w:r>
      <w:r w:rsidR="00E240E5">
        <w:rPr>
          <w:rFonts w:eastAsia="Times New Roman" w:cstheme="minorHAnsi"/>
          <w:lang w:val="es-ES" w:eastAsia="zh-CN"/>
        </w:rPr>
        <w:t xml:space="preserve"> de la centrífuga</w:t>
      </w:r>
      <w:r w:rsidR="00810782">
        <w:rPr>
          <w:rFonts w:eastAsia="Times New Roman" w:cstheme="minorHAnsi"/>
          <w:lang w:val="es-ES" w:eastAsia="zh-CN"/>
        </w:rPr>
        <w:t xml:space="preserve"> (Tratamiento T2)</w:t>
      </w:r>
      <w:r w:rsidR="0065079D">
        <w:rPr>
          <w:rFonts w:eastAsia="Times New Roman" w:cstheme="minorHAnsi"/>
          <w:lang w:val="es-ES" w:eastAsia="zh-CN"/>
        </w:rPr>
        <w:t xml:space="preserve"> y del rechazo de la centrífuga</w:t>
      </w:r>
      <w:r w:rsidR="00810782">
        <w:rPr>
          <w:rFonts w:eastAsia="Times New Roman" w:cstheme="minorHAnsi"/>
          <w:lang w:val="es-ES" w:eastAsia="zh-CN"/>
        </w:rPr>
        <w:t xml:space="preserve"> (Tratamiento T3)</w:t>
      </w:r>
      <w:r w:rsidR="0065079D">
        <w:rPr>
          <w:rFonts w:eastAsia="Times New Roman" w:cstheme="minorHAnsi"/>
          <w:lang w:val="es-ES" w:eastAsia="zh-CN"/>
        </w:rPr>
        <w:t>. A 200 ml de</w:t>
      </w:r>
      <w:r w:rsidR="00E240E5">
        <w:rPr>
          <w:rFonts w:eastAsia="Times New Roman" w:cstheme="minorHAnsi"/>
          <w:lang w:val="es-ES" w:eastAsia="zh-CN"/>
        </w:rPr>
        <w:t xml:space="preserve"> agua de cada tratamiento </w:t>
      </w:r>
      <w:r w:rsidR="0065079D">
        <w:rPr>
          <w:rFonts w:eastAsia="Times New Roman" w:cstheme="minorHAnsi"/>
          <w:lang w:val="es-ES" w:eastAsia="zh-CN"/>
        </w:rPr>
        <w:t>se le añadió 14 gramos de carbón activado de cascara de arroz</w:t>
      </w:r>
      <w:r w:rsidR="00C62302">
        <w:rPr>
          <w:rFonts w:eastAsia="Times New Roman" w:cstheme="minorHAnsi"/>
          <w:lang w:val="es-ES" w:eastAsia="zh-CN"/>
        </w:rPr>
        <w:t xml:space="preserve">, </w:t>
      </w:r>
      <w:r w:rsidR="0065079D">
        <w:rPr>
          <w:rFonts w:eastAsia="Times New Roman" w:cstheme="minorHAnsi"/>
          <w:lang w:val="es-ES" w:eastAsia="zh-CN"/>
        </w:rPr>
        <w:t>se agitó</w:t>
      </w:r>
      <w:r w:rsidR="00E240E5">
        <w:rPr>
          <w:rFonts w:eastAsia="Times New Roman" w:cstheme="minorHAnsi"/>
          <w:lang w:val="es-ES" w:eastAsia="zh-CN"/>
        </w:rPr>
        <w:t xml:space="preserve"> durante 30 minutos</w:t>
      </w:r>
      <w:r w:rsidR="00C62302">
        <w:rPr>
          <w:rFonts w:eastAsia="Times New Roman" w:cstheme="minorHAnsi"/>
          <w:lang w:val="es-ES" w:eastAsia="zh-CN"/>
        </w:rPr>
        <w:t xml:space="preserve"> y </w:t>
      </w:r>
      <w:r w:rsidR="00E240E5">
        <w:rPr>
          <w:rFonts w:eastAsia="Times New Roman" w:cstheme="minorHAnsi"/>
          <w:lang w:val="es-ES" w:eastAsia="zh-CN"/>
        </w:rPr>
        <w:t xml:space="preserve">se </w:t>
      </w:r>
      <w:r w:rsidR="00C62302">
        <w:rPr>
          <w:rFonts w:eastAsia="Times New Roman" w:cstheme="minorHAnsi"/>
          <w:lang w:val="es-ES" w:eastAsia="zh-CN"/>
        </w:rPr>
        <w:t>filtró</w:t>
      </w:r>
      <w:r w:rsidR="00E240E5">
        <w:rPr>
          <w:rFonts w:eastAsia="Times New Roman" w:cstheme="minorHAnsi"/>
          <w:lang w:val="es-ES" w:eastAsia="zh-CN"/>
        </w:rPr>
        <w:t xml:space="preserve"> usando papel Whatman #1</w:t>
      </w:r>
      <w:r w:rsidR="0065079D">
        <w:rPr>
          <w:rFonts w:eastAsia="Times New Roman" w:cstheme="minorHAnsi"/>
          <w:lang w:val="es-ES" w:eastAsia="zh-CN"/>
        </w:rPr>
        <w:t>. El proceso se</w:t>
      </w:r>
      <w:r w:rsidR="00C62302">
        <w:rPr>
          <w:rFonts w:eastAsia="Times New Roman" w:cstheme="minorHAnsi"/>
          <w:lang w:val="es-ES" w:eastAsia="zh-CN"/>
        </w:rPr>
        <w:t xml:space="preserve"> repitió</w:t>
      </w:r>
      <w:r w:rsidR="00BC2222">
        <w:rPr>
          <w:rFonts w:eastAsia="Times New Roman" w:cstheme="minorHAnsi"/>
          <w:lang w:val="es-ES" w:eastAsia="zh-CN"/>
        </w:rPr>
        <w:t>,</w:t>
      </w:r>
      <w:r w:rsidR="00810782">
        <w:rPr>
          <w:rFonts w:eastAsia="Times New Roman" w:cstheme="minorHAnsi"/>
          <w:lang w:val="es-ES" w:eastAsia="zh-CN"/>
        </w:rPr>
        <w:t xml:space="preserve"> </w:t>
      </w:r>
      <w:r w:rsidR="00BC2222">
        <w:rPr>
          <w:rFonts w:eastAsia="Times New Roman" w:cstheme="minorHAnsi"/>
          <w:lang w:val="es-ES" w:eastAsia="zh-CN"/>
        </w:rPr>
        <w:t xml:space="preserve">pero </w:t>
      </w:r>
      <w:r w:rsidR="00FD0E17">
        <w:rPr>
          <w:rFonts w:eastAsia="Times New Roman" w:cstheme="minorHAnsi"/>
          <w:lang w:val="es-ES" w:eastAsia="zh-CN"/>
        </w:rPr>
        <w:t>usando</w:t>
      </w:r>
      <w:r w:rsidR="0065079D">
        <w:rPr>
          <w:rFonts w:eastAsia="Times New Roman" w:cstheme="minorHAnsi"/>
          <w:lang w:val="es-ES" w:eastAsia="zh-CN"/>
        </w:rPr>
        <w:t xml:space="preserve"> carbón activado comercial</w:t>
      </w:r>
      <w:r w:rsidR="00810782">
        <w:rPr>
          <w:rFonts w:eastAsia="Times New Roman" w:cstheme="minorHAnsi"/>
          <w:lang w:val="es-ES" w:eastAsia="zh-CN"/>
        </w:rPr>
        <w:t xml:space="preserve"> y </w:t>
      </w:r>
      <w:r w:rsidR="00E240E5">
        <w:rPr>
          <w:rFonts w:eastAsia="Times New Roman" w:cstheme="minorHAnsi"/>
          <w:lang w:val="es-ES" w:eastAsia="zh-CN"/>
        </w:rPr>
        <w:t>designando los tratamientos</w:t>
      </w:r>
      <w:r w:rsidR="00810782">
        <w:rPr>
          <w:rFonts w:eastAsia="Times New Roman" w:cstheme="minorHAnsi"/>
          <w:lang w:val="es-ES" w:eastAsia="zh-CN"/>
        </w:rPr>
        <w:t xml:space="preserve"> como T4, T5 y T6 respectivamente</w:t>
      </w:r>
      <w:r w:rsidR="0065079D">
        <w:rPr>
          <w:rFonts w:eastAsia="Times New Roman" w:cstheme="minorHAnsi"/>
          <w:lang w:val="es-ES" w:eastAsia="zh-CN"/>
        </w:rPr>
        <w:t>. Se establecieron</w:t>
      </w:r>
      <w:r w:rsidR="00FD6FDD">
        <w:rPr>
          <w:rFonts w:eastAsia="Times New Roman" w:cstheme="minorHAnsi"/>
          <w:lang w:val="es-ES" w:eastAsia="zh-CN"/>
        </w:rPr>
        <w:t xml:space="preserve"> </w:t>
      </w:r>
      <w:r w:rsidR="0065079D">
        <w:rPr>
          <w:rFonts w:eastAsia="Times New Roman" w:cstheme="minorHAnsi"/>
          <w:lang w:val="es-ES" w:eastAsia="zh-CN"/>
        </w:rPr>
        <w:t>seis tratamientos, cada tratamiento se hizo por triplicado. A</w:t>
      </w:r>
      <w:r w:rsidR="00BC2222">
        <w:rPr>
          <w:rFonts w:eastAsia="Times New Roman" w:cstheme="minorHAnsi"/>
          <w:lang w:val="es-ES" w:eastAsia="zh-CN"/>
        </w:rPr>
        <w:t>l filtrado</w:t>
      </w:r>
      <w:r w:rsidR="0065079D">
        <w:rPr>
          <w:rFonts w:eastAsia="Times New Roman" w:cstheme="minorHAnsi"/>
          <w:lang w:val="es-ES" w:eastAsia="zh-CN"/>
        </w:rPr>
        <w:t xml:space="preserve"> </w:t>
      </w:r>
      <w:r w:rsidR="00BC2222">
        <w:rPr>
          <w:rFonts w:eastAsia="Times New Roman" w:cstheme="minorHAnsi"/>
          <w:lang w:val="es-ES" w:eastAsia="zh-CN"/>
        </w:rPr>
        <w:t xml:space="preserve">de cada </w:t>
      </w:r>
      <w:r w:rsidR="0065079D">
        <w:rPr>
          <w:rFonts w:eastAsia="Times New Roman" w:cstheme="minorHAnsi"/>
          <w:lang w:val="es-ES" w:eastAsia="zh-CN"/>
        </w:rPr>
        <w:t>réplica</w:t>
      </w:r>
      <w:r w:rsidR="00BC2222">
        <w:rPr>
          <w:rFonts w:eastAsia="Times New Roman" w:cstheme="minorHAnsi"/>
          <w:lang w:val="es-ES" w:eastAsia="zh-CN"/>
        </w:rPr>
        <w:t xml:space="preserve"> mezclada con carbón activado</w:t>
      </w:r>
      <w:r w:rsidR="00745570">
        <w:rPr>
          <w:rFonts w:eastAsia="Times New Roman" w:cstheme="minorHAnsi"/>
          <w:lang w:val="es-ES" w:eastAsia="zh-CN"/>
        </w:rPr>
        <w:t>,</w:t>
      </w:r>
      <w:r w:rsidR="0065079D">
        <w:rPr>
          <w:rFonts w:eastAsia="Times New Roman" w:cstheme="minorHAnsi"/>
          <w:lang w:val="es-ES" w:eastAsia="zh-CN"/>
        </w:rPr>
        <w:t xml:space="preserve"> se le determinó: Sólidos totales disueltos</w:t>
      </w:r>
      <w:r w:rsidR="00AE2438">
        <w:rPr>
          <w:rFonts w:eastAsia="Times New Roman" w:cstheme="minorHAnsi"/>
          <w:lang w:val="es-ES" w:eastAsia="zh-CN"/>
        </w:rPr>
        <w:t xml:space="preserve"> (TDS)</w:t>
      </w:r>
      <w:r w:rsidR="0065079D">
        <w:rPr>
          <w:rFonts w:eastAsia="Times New Roman" w:cstheme="minorHAnsi"/>
          <w:lang w:val="es-ES" w:eastAsia="zh-CN"/>
        </w:rPr>
        <w:t>, conductividad eléctrica</w:t>
      </w:r>
      <w:r w:rsidR="00AE2438">
        <w:rPr>
          <w:rFonts w:eastAsia="Times New Roman" w:cstheme="minorHAnsi"/>
          <w:lang w:val="es-ES" w:eastAsia="zh-CN"/>
        </w:rPr>
        <w:t xml:space="preserve"> (EC)</w:t>
      </w:r>
      <w:r w:rsidR="0065079D">
        <w:rPr>
          <w:rFonts w:eastAsia="Times New Roman" w:cstheme="minorHAnsi"/>
          <w:lang w:val="es-ES" w:eastAsia="zh-CN"/>
        </w:rPr>
        <w:t>, temperatura</w:t>
      </w:r>
      <w:r w:rsidR="00AE2438">
        <w:rPr>
          <w:rFonts w:eastAsia="Times New Roman" w:cstheme="minorHAnsi"/>
          <w:lang w:val="es-ES" w:eastAsia="zh-CN"/>
        </w:rPr>
        <w:t xml:space="preserve"> (°C)</w:t>
      </w:r>
      <w:r w:rsidR="0065079D">
        <w:rPr>
          <w:rFonts w:eastAsia="Times New Roman" w:cstheme="minorHAnsi"/>
          <w:lang w:val="es-ES" w:eastAsia="zh-CN"/>
        </w:rPr>
        <w:t xml:space="preserve"> y turbidez. </w:t>
      </w:r>
      <w:r w:rsidR="007003FA">
        <w:rPr>
          <w:rFonts w:eastAsia="Times New Roman" w:cstheme="minorHAnsi"/>
          <w:lang w:val="es-ES" w:eastAsia="zh-CN"/>
        </w:rPr>
        <w:t xml:space="preserve"> </w:t>
      </w:r>
      <w:r w:rsidR="00290487">
        <w:rPr>
          <w:rFonts w:eastAsia="+mn-ea" w:cstheme="minorHAnsi"/>
          <w:kern w:val="3"/>
          <w:lang w:eastAsia="es-PA"/>
        </w:rPr>
        <w:t xml:space="preserve"> </w:t>
      </w:r>
      <w:r w:rsidR="007003FA">
        <w:rPr>
          <w:rFonts w:eastAsia="+mn-ea" w:cstheme="minorHAnsi"/>
          <w:kern w:val="3"/>
          <w:lang w:eastAsia="es-PA"/>
        </w:rPr>
        <w:t xml:space="preserve"> </w:t>
      </w:r>
      <w:r w:rsidR="007003FA" w:rsidRPr="007003FA">
        <w:rPr>
          <w:rFonts w:eastAsia="+mn-ea" w:cstheme="minorHAnsi"/>
          <w:b/>
          <w:bCs/>
          <w:kern w:val="3"/>
          <w:lang w:eastAsia="es-PA"/>
        </w:rPr>
        <w:t>Resultados</w:t>
      </w:r>
      <w:r w:rsidR="007003FA">
        <w:rPr>
          <w:rFonts w:eastAsia="+mn-ea" w:cstheme="minorHAnsi"/>
          <w:kern w:val="3"/>
          <w:lang w:eastAsia="es-PA"/>
        </w:rPr>
        <w:t>.</w:t>
      </w:r>
      <w:r w:rsidR="00C62302">
        <w:rPr>
          <w:rFonts w:eastAsia="+mn-ea" w:cstheme="minorHAnsi"/>
          <w:kern w:val="3"/>
          <w:lang w:eastAsia="es-PA"/>
        </w:rPr>
        <w:t xml:space="preserve">  La turbidez inicial de la muestra para T1, T2 y T3 fue 76.3, 15.21 y 14.33 NTU respectivamente.</w:t>
      </w:r>
      <w:r w:rsidR="00FD0E17">
        <w:rPr>
          <w:rFonts w:eastAsia="+mn-ea" w:cstheme="minorHAnsi"/>
          <w:kern w:val="3"/>
          <w:lang w:eastAsia="es-PA"/>
        </w:rPr>
        <w:t xml:space="preserve"> </w:t>
      </w:r>
      <w:r w:rsidR="00E240E5">
        <w:rPr>
          <w:rFonts w:eastAsia="+mn-ea" w:cstheme="minorHAnsi"/>
          <w:kern w:val="3"/>
          <w:lang w:eastAsia="es-PA"/>
        </w:rPr>
        <w:t xml:space="preserve">Los datos se analizaron usando el programa estadístico InfoStat. </w:t>
      </w:r>
      <w:r w:rsidR="0057151D">
        <w:rPr>
          <w:rFonts w:eastAsia="+mn-ea" w:cstheme="minorHAnsi"/>
          <w:kern w:val="3"/>
          <w:lang w:eastAsia="es-PA"/>
        </w:rPr>
        <w:t>El</w:t>
      </w:r>
      <w:r w:rsidR="00E240E5">
        <w:rPr>
          <w:rFonts w:eastAsia="+mn-ea" w:cstheme="minorHAnsi"/>
          <w:kern w:val="3"/>
          <w:lang w:eastAsia="es-PA"/>
        </w:rPr>
        <w:t xml:space="preserve"> </w:t>
      </w:r>
      <w:r w:rsidR="00320A15">
        <w:rPr>
          <w:rFonts w:eastAsia="+mn-ea" w:cstheme="minorHAnsi"/>
          <w:kern w:val="3"/>
          <w:lang w:eastAsia="es-PA"/>
        </w:rPr>
        <w:t>AN</w:t>
      </w:r>
      <w:r w:rsidR="0057151D">
        <w:rPr>
          <w:rFonts w:eastAsia="+mn-ea" w:cstheme="minorHAnsi"/>
          <w:kern w:val="3"/>
          <w:lang w:eastAsia="es-PA"/>
        </w:rPr>
        <w:t>A</w:t>
      </w:r>
      <w:r w:rsidR="00320A15">
        <w:rPr>
          <w:rFonts w:eastAsia="+mn-ea" w:cstheme="minorHAnsi"/>
          <w:kern w:val="3"/>
          <w:lang w:eastAsia="es-PA"/>
        </w:rPr>
        <w:t>VA</w:t>
      </w:r>
      <w:r w:rsidR="00FD0E17">
        <w:rPr>
          <w:rFonts w:eastAsia="+mn-ea" w:cstheme="minorHAnsi"/>
          <w:kern w:val="3"/>
          <w:lang w:eastAsia="es-PA"/>
        </w:rPr>
        <w:t xml:space="preserve"> para las variables</w:t>
      </w:r>
      <w:r w:rsidR="00FD0E17" w:rsidRPr="00FD0E17">
        <w:rPr>
          <w:rFonts w:eastAsia="+mn-ea" w:cstheme="minorHAnsi"/>
          <w:kern w:val="3"/>
          <w:lang w:eastAsia="es-PA"/>
        </w:rPr>
        <w:t xml:space="preserve"> </w:t>
      </w:r>
      <w:r w:rsidR="00FD0E17">
        <w:rPr>
          <w:rFonts w:eastAsia="+mn-ea" w:cstheme="minorHAnsi"/>
          <w:kern w:val="3"/>
          <w:lang w:eastAsia="es-PA"/>
        </w:rPr>
        <w:t>TDS, EC y turbidez</w:t>
      </w:r>
      <w:r w:rsidR="00320A15">
        <w:rPr>
          <w:rFonts w:eastAsia="+mn-ea" w:cstheme="minorHAnsi"/>
          <w:kern w:val="3"/>
          <w:lang w:eastAsia="es-PA"/>
        </w:rPr>
        <w:t xml:space="preserve"> muestra diferencias altamente significativas entre tratamientos</w:t>
      </w:r>
      <w:r w:rsidR="006F3D96">
        <w:rPr>
          <w:rFonts w:eastAsia="+mn-ea" w:cstheme="minorHAnsi"/>
          <w:kern w:val="3"/>
          <w:lang w:eastAsia="es-PA"/>
        </w:rPr>
        <w:t xml:space="preserve"> </w:t>
      </w:r>
      <w:r w:rsidR="00F1797C">
        <w:rPr>
          <w:rFonts w:eastAsia="+mn-ea" w:cstheme="minorHAnsi"/>
          <w:kern w:val="3"/>
          <w:lang w:eastAsia="es-PA"/>
        </w:rPr>
        <w:t>con valores F de 3805.66, 3497.25, 40.75 respectivamente con p-valor &lt;0.0001.</w:t>
      </w:r>
      <w:r w:rsidR="00320A15">
        <w:rPr>
          <w:rFonts w:eastAsia="+mn-ea" w:cstheme="minorHAnsi"/>
          <w:kern w:val="3"/>
          <w:lang w:eastAsia="es-PA"/>
        </w:rPr>
        <w:t xml:space="preserve"> </w:t>
      </w:r>
      <w:r w:rsidR="006F3D96">
        <w:rPr>
          <w:rFonts w:eastAsia="+mn-ea" w:cstheme="minorHAnsi"/>
          <w:kern w:val="3"/>
          <w:lang w:eastAsia="es-PA"/>
        </w:rPr>
        <w:t>No así</w:t>
      </w:r>
      <w:r w:rsidR="00320A15">
        <w:rPr>
          <w:rFonts w:eastAsia="+mn-ea" w:cstheme="minorHAnsi"/>
          <w:kern w:val="3"/>
          <w:lang w:eastAsia="es-PA"/>
        </w:rPr>
        <w:t xml:space="preserve"> para la variable temperatura. La prueba de Tukey para las variables: TDS, EC y turbidez muestra dos grupos. </w:t>
      </w:r>
      <w:r w:rsidR="00557703">
        <w:rPr>
          <w:rFonts w:eastAsia="+mn-ea" w:cstheme="minorHAnsi"/>
          <w:kern w:val="3"/>
          <w:lang w:eastAsia="es-PA"/>
        </w:rPr>
        <w:t xml:space="preserve"> </w:t>
      </w:r>
      <w:r w:rsidR="00CE4BA4">
        <w:rPr>
          <w:rFonts w:eastAsia="+mn-ea" w:cstheme="minorHAnsi"/>
          <w:kern w:val="3"/>
          <w:lang w:eastAsia="es-PA"/>
        </w:rPr>
        <w:t>La mayor turbidez se obtuvo en</w:t>
      </w:r>
      <w:r w:rsidR="00BC2222">
        <w:rPr>
          <w:rFonts w:eastAsia="+mn-ea" w:cstheme="minorHAnsi"/>
          <w:kern w:val="3"/>
          <w:lang w:eastAsia="es-PA"/>
        </w:rPr>
        <w:t xml:space="preserve"> el grupo A</w:t>
      </w:r>
      <w:r w:rsidR="00BD6F03">
        <w:rPr>
          <w:rFonts w:eastAsia="+mn-ea" w:cstheme="minorHAnsi"/>
          <w:kern w:val="3"/>
          <w:lang w:eastAsia="es-PA"/>
        </w:rPr>
        <w:t xml:space="preserve"> (T1, T2 y T3)</w:t>
      </w:r>
      <w:r w:rsidR="00BD6F03" w:rsidRPr="00BD6F03">
        <w:rPr>
          <w:rFonts w:eastAsia="+mn-ea" w:cstheme="minorHAnsi"/>
          <w:kern w:val="3"/>
          <w:lang w:eastAsia="es-PA"/>
        </w:rPr>
        <w:t xml:space="preserve"> </w:t>
      </w:r>
      <w:r w:rsidR="00BD6F03">
        <w:rPr>
          <w:rFonts w:eastAsia="+mn-ea" w:cstheme="minorHAnsi"/>
          <w:kern w:val="3"/>
          <w:lang w:eastAsia="es-PA"/>
        </w:rPr>
        <w:t>con carbón activado de cascara de arroz con medias de 7.56, 7.43 y 6.98 NTU respectivamente</w:t>
      </w:r>
      <w:r w:rsidR="00BC2222">
        <w:rPr>
          <w:rFonts w:eastAsia="+mn-ea" w:cstheme="minorHAnsi"/>
          <w:kern w:val="3"/>
          <w:lang w:eastAsia="es-PA"/>
        </w:rPr>
        <w:t xml:space="preserve"> y la menor turbidez </w:t>
      </w:r>
      <w:r w:rsidR="00BD6F03">
        <w:rPr>
          <w:rFonts w:eastAsia="+mn-ea" w:cstheme="minorHAnsi"/>
          <w:kern w:val="3"/>
          <w:lang w:eastAsia="es-PA"/>
        </w:rPr>
        <w:t xml:space="preserve">en el grupo B (T4, T5 y </w:t>
      </w:r>
      <w:r w:rsidR="00AE44F2">
        <w:rPr>
          <w:rFonts w:eastAsia="+mn-ea" w:cstheme="minorHAnsi"/>
          <w:kern w:val="3"/>
          <w:lang w:eastAsia="es-PA"/>
        </w:rPr>
        <w:t xml:space="preserve">T6) </w:t>
      </w:r>
      <w:r w:rsidR="00BC2222">
        <w:rPr>
          <w:rFonts w:eastAsia="+mn-ea" w:cstheme="minorHAnsi"/>
          <w:kern w:val="3"/>
          <w:lang w:eastAsia="es-PA"/>
        </w:rPr>
        <w:t>con el carbón activado comercial</w:t>
      </w:r>
      <w:r w:rsidR="00AE44F2">
        <w:rPr>
          <w:rFonts w:eastAsia="+mn-ea" w:cstheme="minorHAnsi"/>
          <w:kern w:val="3"/>
          <w:lang w:eastAsia="es-PA"/>
        </w:rPr>
        <w:t xml:space="preserve"> </w:t>
      </w:r>
      <w:r w:rsidR="00557703">
        <w:rPr>
          <w:rFonts w:eastAsia="+mn-ea" w:cstheme="minorHAnsi"/>
          <w:kern w:val="3"/>
          <w:lang w:eastAsia="es-PA"/>
        </w:rPr>
        <w:t>con</w:t>
      </w:r>
      <w:r w:rsidR="00AE44F2">
        <w:rPr>
          <w:rFonts w:eastAsia="+mn-ea" w:cstheme="minorHAnsi"/>
          <w:kern w:val="3"/>
          <w:lang w:eastAsia="es-PA"/>
        </w:rPr>
        <w:t xml:space="preserve"> medias de 0.53, </w:t>
      </w:r>
      <w:r w:rsidR="0007320B">
        <w:rPr>
          <w:rFonts w:eastAsia="+mn-ea" w:cstheme="minorHAnsi"/>
          <w:kern w:val="3"/>
          <w:lang w:eastAsia="es-PA"/>
        </w:rPr>
        <w:t>0</w:t>
      </w:r>
      <w:r w:rsidR="00AE44F2">
        <w:rPr>
          <w:rFonts w:eastAsia="+mn-ea" w:cstheme="minorHAnsi"/>
          <w:kern w:val="3"/>
          <w:lang w:eastAsia="es-PA"/>
        </w:rPr>
        <w:t>.59 y 0.59 NTU</w:t>
      </w:r>
      <w:r w:rsidR="00BC2222">
        <w:rPr>
          <w:rFonts w:eastAsia="+mn-ea" w:cstheme="minorHAnsi"/>
          <w:kern w:val="3"/>
          <w:lang w:eastAsia="es-PA"/>
        </w:rPr>
        <w:t>.</w:t>
      </w:r>
      <w:r w:rsidR="00CE4BA4">
        <w:rPr>
          <w:rFonts w:eastAsia="+mn-ea" w:cstheme="minorHAnsi"/>
          <w:kern w:val="3"/>
          <w:lang w:eastAsia="es-PA"/>
        </w:rPr>
        <w:t xml:space="preserve"> </w:t>
      </w:r>
      <w:r w:rsidR="007003FA" w:rsidRPr="007003FA">
        <w:rPr>
          <w:rFonts w:eastAsia="SimSun" w:cstheme="minorHAnsi"/>
          <w:b/>
          <w:bCs/>
          <w:kern w:val="3"/>
          <w:lang w:eastAsia="es-PA"/>
        </w:rPr>
        <w:t>Conclusión</w:t>
      </w:r>
      <w:r w:rsidR="007003FA">
        <w:rPr>
          <w:rFonts w:eastAsia="SimSun" w:cstheme="minorHAnsi"/>
          <w:kern w:val="3"/>
          <w:lang w:eastAsia="es-PA"/>
        </w:rPr>
        <w:t>.</w:t>
      </w:r>
      <w:r w:rsidR="000E6843" w:rsidRPr="000A62D0">
        <w:rPr>
          <w:rFonts w:eastAsia="SimSun" w:cstheme="minorHAnsi"/>
          <w:kern w:val="3"/>
          <w:lang w:eastAsia="es-PA"/>
        </w:rPr>
        <w:t xml:space="preserve"> </w:t>
      </w:r>
      <w:r w:rsidR="004940FE">
        <w:rPr>
          <w:rFonts w:eastAsia="SimSun" w:cstheme="minorHAnsi"/>
          <w:kern w:val="3"/>
          <w:lang w:eastAsia="es-PA"/>
        </w:rPr>
        <w:t>Las aguas residuales del lavado de raíces de yuca</w:t>
      </w:r>
      <w:r w:rsidR="00A839A0">
        <w:rPr>
          <w:rFonts w:eastAsia="SimSun" w:cstheme="minorHAnsi"/>
          <w:kern w:val="3"/>
          <w:lang w:eastAsia="es-PA"/>
        </w:rPr>
        <w:t xml:space="preserve">, </w:t>
      </w:r>
      <w:r w:rsidR="004940FE">
        <w:rPr>
          <w:rFonts w:eastAsia="SimSun" w:cstheme="minorHAnsi"/>
          <w:kern w:val="3"/>
          <w:lang w:eastAsia="es-PA"/>
        </w:rPr>
        <w:t>decoloradas con carbón activado comercial</w:t>
      </w:r>
      <w:r w:rsidR="00A839A0">
        <w:rPr>
          <w:rFonts w:eastAsia="SimSun" w:cstheme="minorHAnsi"/>
          <w:kern w:val="3"/>
          <w:lang w:eastAsia="es-PA"/>
        </w:rPr>
        <w:t xml:space="preserve"> </w:t>
      </w:r>
      <w:r w:rsidR="00411A56">
        <w:rPr>
          <w:rFonts w:eastAsia="SimSun" w:cstheme="minorHAnsi"/>
          <w:kern w:val="3"/>
          <w:lang w:eastAsia="es-PA"/>
        </w:rPr>
        <w:t>resultan con</w:t>
      </w:r>
      <w:r w:rsidR="004940FE">
        <w:rPr>
          <w:rFonts w:eastAsia="SimSun" w:cstheme="minorHAnsi"/>
          <w:kern w:val="3"/>
          <w:lang w:eastAsia="es-PA"/>
        </w:rPr>
        <w:t xml:space="preserve"> turbidez menor de 1 NTU</w:t>
      </w:r>
      <w:r w:rsidR="00411A56">
        <w:rPr>
          <w:rFonts w:eastAsia="SimSun" w:cstheme="minorHAnsi"/>
          <w:kern w:val="3"/>
          <w:lang w:eastAsia="es-PA"/>
        </w:rPr>
        <w:t xml:space="preserve"> </w:t>
      </w:r>
      <w:r w:rsidR="00A839A0">
        <w:rPr>
          <w:rFonts w:eastAsia="SimSun" w:cstheme="minorHAnsi"/>
          <w:kern w:val="3"/>
          <w:lang w:eastAsia="es-PA"/>
        </w:rPr>
        <w:t>cumpliendo así con las normas de la OMS</w:t>
      </w:r>
      <w:r w:rsidR="004940FE">
        <w:rPr>
          <w:rFonts w:eastAsia="SimSun" w:cstheme="minorHAnsi"/>
          <w:kern w:val="3"/>
          <w:lang w:eastAsia="es-PA"/>
        </w:rPr>
        <w:t>.</w:t>
      </w:r>
      <w:r w:rsidR="00411A56">
        <w:rPr>
          <w:rFonts w:eastAsia="SimSun" w:cstheme="minorHAnsi"/>
          <w:kern w:val="3"/>
          <w:lang w:eastAsia="es-PA"/>
        </w:rPr>
        <w:t xml:space="preserve"> Se necesita</w:t>
      </w:r>
      <w:r w:rsidR="001E3FFD">
        <w:rPr>
          <w:rFonts w:eastAsia="SimSun" w:cstheme="minorHAnsi"/>
          <w:kern w:val="3"/>
          <w:lang w:eastAsia="es-PA"/>
        </w:rPr>
        <w:t xml:space="preserve"> optimizar el</w:t>
      </w:r>
      <w:r w:rsidR="002E4E89">
        <w:rPr>
          <w:rFonts w:eastAsia="SimSun" w:cstheme="minorHAnsi"/>
          <w:kern w:val="3"/>
          <w:lang w:eastAsia="es-PA"/>
        </w:rPr>
        <w:t xml:space="preserve"> método de activación del carbón de cáscara de arroz y mejorar la decoloración</w:t>
      </w:r>
      <w:r w:rsidR="00411A56">
        <w:rPr>
          <w:rFonts w:eastAsia="SimSun" w:cstheme="minorHAnsi"/>
          <w:kern w:val="3"/>
          <w:lang w:eastAsia="es-PA"/>
        </w:rPr>
        <w:t xml:space="preserve"> de aguas residuales</w:t>
      </w:r>
      <w:r w:rsidR="00FD0E17">
        <w:rPr>
          <w:rFonts w:eastAsia="SimSun" w:cstheme="minorHAnsi"/>
          <w:kern w:val="3"/>
          <w:lang w:eastAsia="es-PA"/>
        </w:rPr>
        <w:t xml:space="preserve"> del lavado de raíces</w:t>
      </w:r>
      <w:r w:rsidR="00A839A0">
        <w:rPr>
          <w:rFonts w:eastAsia="SimSun" w:cstheme="minorHAnsi"/>
          <w:kern w:val="3"/>
          <w:lang w:eastAsia="es-PA"/>
        </w:rPr>
        <w:t xml:space="preserve"> </w:t>
      </w:r>
      <w:r w:rsidR="00FD0E17">
        <w:rPr>
          <w:rFonts w:eastAsia="SimSun" w:cstheme="minorHAnsi"/>
          <w:kern w:val="3"/>
          <w:lang w:eastAsia="es-PA"/>
        </w:rPr>
        <w:t xml:space="preserve">de yuca </w:t>
      </w:r>
      <w:r w:rsidR="00A839A0">
        <w:rPr>
          <w:rFonts w:eastAsia="SimSun" w:cstheme="minorHAnsi"/>
          <w:kern w:val="3"/>
          <w:lang w:eastAsia="es-PA"/>
        </w:rPr>
        <w:t>para</w:t>
      </w:r>
      <w:r w:rsidR="00FD0E17">
        <w:rPr>
          <w:rFonts w:eastAsia="SimSun" w:cstheme="minorHAnsi"/>
          <w:kern w:val="3"/>
          <w:lang w:eastAsia="es-PA"/>
        </w:rPr>
        <w:t xml:space="preserve"> convertirlas en agua potable</w:t>
      </w:r>
      <w:r w:rsidR="00411A56">
        <w:rPr>
          <w:rFonts w:eastAsia="SimSun" w:cstheme="minorHAnsi"/>
          <w:kern w:val="3"/>
          <w:lang w:eastAsia="es-PA"/>
        </w:rPr>
        <w:t xml:space="preserve">.  </w:t>
      </w:r>
    </w:p>
    <w:p w14:paraId="06DDB63E" w14:textId="586B2034" w:rsidR="002D50EC" w:rsidRDefault="00D0429F" w:rsidP="00394F74">
      <w:pPr>
        <w:jc w:val="both"/>
        <w:rPr>
          <w:rFonts w:ascii="Arial" w:eastAsia="SimSun" w:hAnsi="Arial" w:cs="Arial"/>
          <w:kern w:val="3"/>
          <w:lang w:eastAsia="es-PA"/>
        </w:rPr>
      </w:pPr>
      <w:r w:rsidRPr="00213621">
        <w:rPr>
          <w:rFonts w:eastAsia="+mn-ea" w:cstheme="minorHAnsi"/>
          <w:i/>
          <w:iCs/>
          <w:kern w:val="3"/>
          <w:lang w:eastAsia="es-PA"/>
        </w:rPr>
        <w:t>Palabras clave</w:t>
      </w:r>
      <w:r w:rsidRPr="00213621">
        <w:rPr>
          <w:rFonts w:eastAsia="+mn-ea" w:cstheme="minorHAnsi"/>
          <w:kern w:val="3"/>
          <w:lang w:eastAsia="es-PA"/>
        </w:rPr>
        <w:t xml:space="preserve">: </w:t>
      </w:r>
      <w:r w:rsidR="00AD47F6">
        <w:rPr>
          <w:rFonts w:eastAsia="+mn-ea" w:cstheme="minorHAnsi"/>
          <w:kern w:val="3"/>
          <w:lang w:eastAsia="es-PA"/>
        </w:rPr>
        <w:t>Carbón activado</w:t>
      </w:r>
      <w:r w:rsidRPr="00213621">
        <w:rPr>
          <w:rFonts w:eastAsia="+mn-ea" w:cstheme="minorHAnsi"/>
          <w:kern w:val="3"/>
          <w:lang w:eastAsia="es-PA"/>
        </w:rPr>
        <w:t xml:space="preserve">, </w:t>
      </w:r>
      <w:r w:rsidR="00AD47F6">
        <w:rPr>
          <w:rFonts w:eastAsia="+mn-ea" w:cstheme="minorHAnsi"/>
          <w:kern w:val="3"/>
          <w:lang w:eastAsia="es-PA"/>
        </w:rPr>
        <w:t>turbidez</w:t>
      </w:r>
      <w:r w:rsidRPr="00213621">
        <w:rPr>
          <w:rFonts w:eastAsia="+mn-ea" w:cstheme="minorHAnsi"/>
          <w:kern w:val="3"/>
          <w:lang w:eastAsia="es-PA"/>
        </w:rPr>
        <w:t xml:space="preserve">, </w:t>
      </w:r>
      <w:r w:rsidR="00AD47F6">
        <w:rPr>
          <w:rFonts w:eastAsia="+mn-ea" w:cstheme="minorHAnsi"/>
          <w:kern w:val="3"/>
          <w:lang w:eastAsia="es-PA"/>
        </w:rPr>
        <w:t>centrífuga</w:t>
      </w:r>
      <w:r w:rsidRPr="00213621">
        <w:rPr>
          <w:rFonts w:eastAsia="+mn-ea" w:cstheme="minorHAnsi"/>
          <w:kern w:val="3"/>
          <w:lang w:eastAsia="es-PA"/>
        </w:rPr>
        <w:t xml:space="preserve">, </w:t>
      </w:r>
      <w:bookmarkEnd w:id="0"/>
      <w:r w:rsidR="00AD47F6">
        <w:rPr>
          <w:rFonts w:eastAsia="+mn-ea" w:cstheme="minorHAnsi"/>
          <w:kern w:val="3"/>
          <w:lang w:eastAsia="es-PA"/>
        </w:rPr>
        <w:t xml:space="preserve">conductividad eléctrica, </w:t>
      </w:r>
    </w:p>
    <w:p w14:paraId="174A280B" w14:textId="79F5B0D6" w:rsidR="00792071" w:rsidRPr="00CE4CE3" w:rsidRDefault="0057151D" w:rsidP="00453BD2">
      <w:pPr>
        <w:rPr>
          <w:rFonts w:eastAsia="+mn-ea" w:cstheme="minorHAnsi"/>
          <w:kern w:val="3"/>
          <w:sz w:val="20"/>
          <w:szCs w:val="20"/>
          <w:lang w:eastAsia="es-PA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PA"/>
        </w:rPr>
        <w:t xml:space="preserve"> </w:t>
      </w:r>
    </w:p>
    <w:sectPr w:rsidR="00792071" w:rsidRPr="00CE4CE3" w:rsidSect="00965D63"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5267" w14:textId="77777777" w:rsidR="00C90131" w:rsidRDefault="00C90131" w:rsidP="003B2AD4">
      <w:pPr>
        <w:spacing w:after="0" w:line="240" w:lineRule="auto"/>
      </w:pPr>
      <w:r>
        <w:separator/>
      </w:r>
    </w:p>
  </w:endnote>
  <w:endnote w:type="continuationSeparator" w:id="0">
    <w:p w14:paraId="040F7D64" w14:textId="77777777" w:rsidR="00C90131" w:rsidRDefault="00C90131" w:rsidP="003B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F18" w14:textId="7D67461A" w:rsidR="0019707E" w:rsidRPr="0019707E" w:rsidRDefault="0019707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 xml:space="preserve">1 </w:t>
    </w:r>
    <w:proofErr w:type="gramStart"/>
    <w:r>
      <w:rPr>
        <w:rFonts w:ascii="Arial" w:hAnsi="Arial" w:cs="Arial"/>
        <w:sz w:val="18"/>
        <w:szCs w:val="18"/>
      </w:rPr>
      <w:t>Proyecto</w:t>
    </w:r>
    <w:proofErr w:type="gramEnd"/>
    <w:r>
      <w:rPr>
        <w:rFonts w:ascii="Arial" w:hAnsi="Arial" w:cs="Arial"/>
        <w:sz w:val="18"/>
        <w:szCs w:val="18"/>
      </w:rPr>
      <w:t>: 501.A.</w:t>
    </w:r>
    <w:r w:rsidR="00290487">
      <w:rPr>
        <w:rFonts w:ascii="Arial" w:hAnsi="Arial" w:cs="Arial"/>
        <w:sz w:val="18"/>
        <w:szCs w:val="18"/>
      </w:rPr>
      <w:t>2.04</w:t>
    </w:r>
  </w:p>
  <w:p w14:paraId="2F879B7F" w14:textId="72B3E06F" w:rsidR="0019707E" w:rsidRDefault="0019707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 xml:space="preserve">2 </w:t>
    </w:r>
    <w:proofErr w:type="gramStart"/>
    <w:r>
      <w:rPr>
        <w:rFonts w:ascii="Arial" w:hAnsi="Arial" w:cs="Arial"/>
        <w:sz w:val="18"/>
        <w:szCs w:val="18"/>
      </w:rPr>
      <w:t>Instituto</w:t>
    </w:r>
    <w:proofErr w:type="gramEnd"/>
    <w:r>
      <w:rPr>
        <w:rFonts w:ascii="Arial" w:hAnsi="Arial" w:cs="Arial"/>
        <w:sz w:val="18"/>
        <w:szCs w:val="18"/>
      </w:rPr>
      <w:t xml:space="preserve"> de Innovación Agropecuaria de Panamá </w:t>
    </w:r>
    <w:r w:rsidR="006C01CD">
      <w:rPr>
        <w:rFonts w:ascii="Arial" w:hAnsi="Arial" w:cs="Arial"/>
        <w:sz w:val="18"/>
        <w:szCs w:val="18"/>
      </w:rPr>
      <w:t>(IDIAP) rodolfo.moralesm@idiap.gob.pa</w:t>
    </w:r>
  </w:p>
  <w:p w14:paraId="5736C837" w14:textId="074B68EF" w:rsidR="003B2AD4" w:rsidRPr="00AF24BE" w:rsidRDefault="006C01C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63E8" w14:textId="77777777" w:rsidR="00C90131" w:rsidRDefault="00C90131" w:rsidP="003B2AD4">
      <w:pPr>
        <w:spacing w:after="0" w:line="240" w:lineRule="auto"/>
      </w:pPr>
      <w:r>
        <w:separator/>
      </w:r>
    </w:p>
  </w:footnote>
  <w:footnote w:type="continuationSeparator" w:id="0">
    <w:p w14:paraId="784EA387" w14:textId="77777777" w:rsidR="00C90131" w:rsidRDefault="00C90131" w:rsidP="003B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F1"/>
    <w:rsid w:val="00001D65"/>
    <w:rsid w:val="00006C06"/>
    <w:rsid w:val="00034E5C"/>
    <w:rsid w:val="00065CFF"/>
    <w:rsid w:val="00071C99"/>
    <w:rsid w:val="0007320B"/>
    <w:rsid w:val="000A62D0"/>
    <w:rsid w:val="000E6843"/>
    <w:rsid w:val="000F3B88"/>
    <w:rsid w:val="00112ECA"/>
    <w:rsid w:val="001240B8"/>
    <w:rsid w:val="00152FB8"/>
    <w:rsid w:val="00156667"/>
    <w:rsid w:val="00161568"/>
    <w:rsid w:val="001658A3"/>
    <w:rsid w:val="00193AF8"/>
    <w:rsid w:val="0019707E"/>
    <w:rsid w:val="001A2629"/>
    <w:rsid w:val="001C5529"/>
    <w:rsid w:val="001D064B"/>
    <w:rsid w:val="001D2CE9"/>
    <w:rsid w:val="001E3FFD"/>
    <w:rsid w:val="001E66C3"/>
    <w:rsid w:val="001F3512"/>
    <w:rsid w:val="00213621"/>
    <w:rsid w:val="002262B3"/>
    <w:rsid w:val="0025567C"/>
    <w:rsid w:val="0027326B"/>
    <w:rsid w:val="00290487"/>
    <w:rsid w:val="002A3F68"/>
    <w:rsid w:val="002C5F87"/>
    <w:rsid w:val="002D50EC"/>
    <w:rsid w:val="002D7BE3"/>
    <w:rsid w:val="002E4E89"/>
    <w:rsid w:val="00302383"/>
    <w:rsid w:val="003147BA"/>
    <w:rsid w:val="00320A15"/>
    <w:rsid w:val="0032130A"/>
    <w:rsid w:val="003352EF"/>
    <w:rsid w:val="003437AA"/>
    <w:rsid w:val="003805FB"/>
    <w:rsid w:val="003811A5"/>
    <w:rsid w:val="00394F74"/>
    <w:rsid w:val="003A29C4"/>
    <w:rsid w:val="003A3D5F"/>
    <w:rsid w:val="003B2AD4"/>
    <w:rsid w:val="003C2DDF"/>
    <w:rsid w:val="003E7883"/>
    <w:rsid w:val="00411A56"/>
    <w:rsid w:val="00453BD2"/>
    <w:rsid w:val="0047327F"/>
    <w:rsid w:val="004940FE"/>
    <w:rsid w:val="004B4D70"/>
    <w:rsid w:val="004B53E0"/>
    <w:rsid w:val="004E0F05"/>
    <w:rsid w:val="004E1802"/>
    <w:rsid w:val="004E7A13"/>
    <w:rsid w:val="004F2364"/>
    <w:rsid w:val="005019F9"/>
    <w:rsid w:val="005253E3"/>
    <w:rsid w:val="00557703"/>
    <w:rsid w:val="00560E13"/>
    <w:rsid w:val="0057151D"/>
    <w:rsid w:val="005B677F"/>
    <w:rsid w:val="00611875"/>
    <w:rsid w:val="00641049"/>
    <w:rsid w:val="0065079D"/>
    <w:rsid w:val="00672A4E"/>
    <w:rsid w:val="006769EE"/>
    <w:rsid w:val="006A4CAB"/>
    <w:rsid w:val="006C01CD"/>
    <w:rsid w:val="006D439A"/>
    <w:rsid w:val="006E5C95"/>
    <w:rsid w:val="006F3D96"/>
    <w:rsid w:val="006F7F8E"/>
    <w:rsid w:val="007003FA"/>
    <w:rsid w:val="007340B6"/>
    <w:rsid w:val="00741892"/>
    <w:rsid w:val="00745570"/>
    <w:rsid w:val="007616FE"/>
    <w:rsid w:val="00782700"/>
    <w:rsid w:val="00792071"/>
    <w:rsid w:val="007A6822"/>
    <w:rsid w:val="007C616F"/>
    <w:rsid w:val="007F2CD1"/>
    <w:rsid w:val="00807B2D"/>
    <w:rsid w:val="00810782"/>
    <w:rsid w:val="00813725"/>
    <w:rsid w:val="008274AA"/>
    <w:rsid w:val="00850A3D"/>
    <w:rsid w:val="008975FB"/>
    <w:rsid w:val="008A1030"/>
    <w:rsid w:val="008A7612"/>
    <w:rsid w:val="008E14E8"/>
    <w:rsid w:val="008F2C13"/>
    <w:rsid w:val="008F75DB"/>
    <w:rsid w:val="00915913"/>
    <w:rsid w:val="00955D0C"/>
    <w:rsid w:val="00965D63"/>
    <w:rsid w:val="009A5892"/>
    <w:rsid w:val="009D5B3F"/>
    <w:rsid w:val="009E27C9"/>
    <w:rsid w:val="00A12B73"/>
    <w:rsid w:val="00A17BC0"/>
    <w:rsid w:val="00A36F5E"/>
    <w:rsid w:val="00A5264B"/>
    <w:rsid w:val="00A811F1"/>
    <w:rsid w:val="00A839A0"/>
    <w:rsid w:val="00A9165B"/>
    <w:rsid w:val="00A97038"/>
    <w:rsid w:val="00AC0A12"/>
    <w:rsid w:val="00AD47F6"/>
    <w:rsid w:val="00AE2438"/>
    <w:rsid w:val="00AE25A8"/>
    <w:rsid w:val="00AE44F2"/>
    <w:rsid w:val="00AF24BE"/>
    <w:rsid w:val="00B06881"/>
    <w:rsid w:val="00B53D9F"/>
    <w:rsid w:val="00B561A8"/>
    <w:rsid w:val="00B635D8"/>
    <w:rsid w:val="00B75B5F"/>
    <w:rsid w:val="00BB2D29"/>
    <w:rsid w:val="00BC1B84"/>
    <w:rsid w:val="00BC2222"/>
    <w:rsid w:val="00BD30B7"/>
    <w:rsid w:val="00BD6F03"/>
    <w:rsid w:val="00BE481A"/>
    <w:rsid w:val="00BF4B20"/>
    <w:rsid w:val="00C301DD"/>
    <w:rsid w:val="00C326BF"/>
    <w:rsid w:val="00C50A9E"/>
    <w:rsid w:val="00C51AF4"/>
    <w:rsid w:val="00C55FF8"/>
    <w:rsid w:val="00C62302"/>
    <w:rsid w:val="00C62305"/>
    <w:rsid w:val="00C66CAE"/>
    <w:rsid w:val="00C67A4F"/>
    <w:rsid w:val="00C71AA2"/>
    <w:rsid w:val="00C90131"/>
    <w:rsid w:val="00C91D76"/>
    <w:rsid w:val="00CA2DD4"/>
    <w:rsid w:val="00CC0860"/>
    <w:rsid w:val="00CC2C9C"/>
    <w:rsid w:val="00CE4BA4"/>
    <w:rsid w:val="00CE4CE3"/>
    <w:rsid w:val="00CE57FA"/>
    <w:rsid w:val="00CE6C30"/>
    <w:rsid w:val="00CF274F"/>
    <w:rsid w:val="00D01377"/>
    <w:rsid w:val="00D02983"/>
    <w:rsid w:val="00D0429F"/>
    <w:rsid w:val="00D31AAD"/>
    <w:rsid w:val="00D34888"/>
    <w:rsid w:val="00D45652"/>
    <w:rsid w:val="00D57C72"/>
    <w:rsid w:val="00D65FFC"/>
    <w:rsid w:val="00D85882"/>
    <w:rsid w:val="00DA1C04"/>
    <w:rsid w:val="00DA6CD0"/>
    <w:rsid w:val="00DB59DF"/>
    <w:rsid w:val="00DB66EF"/>
    <w:rsid w:val="00DE75BC"/>
    <w:rsid w:val="00E15287"/>
    <w:rsid w:val="00E240E5"/>
    <w:rsid w:val="00E247F2"/>
    <w:rsid w:val="00E263ED"/>
    <w:rsid w:val="00EA68F9"/>
    <w:rsid w:val="00ED434F"/>
    <w:rsid w:val="00F00228"/>
    <w:rsid w:val="00F129A1"/>
    <w:rsid w:val="00F1797C"/>
    <w:rsid w:val="00F3011D"/>
    <w:rsid w:val="00F32FB0"/>
    <w:rsid w:val="00F46A2B"/>
    <w:rsid w:val="00F47E3E"/>
    <w:rsid w:val="00F5028F"/>
    <w:rsid w:val="00F820CD"/>
    <w:rsid w:val="00F82D9C"/>
    <w:rsid w:val="00FA08F1"/>
    <w:rsid w:val="00FC7111"/>
    <w:rsid w:val="00FD0E17"/>
    <w:rsid w:val="00FD6FDD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BCB697"/>
  <w15:chartTrackingRefBased/>
  <w15:docId w15:val="{E276C72D-07D1-4E43-9343-A43DBED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2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AD4"/>
  </w:style>
  <w:style w:type="paragraph" w:styleId="Piedepgina">
    <w:name w:val="footer"/>
    <w:basedOn w:val="Normal"/>
    <w:link w:val="PiedepginaCar"/>
    <w:uiPriority w:val="99"/>
    <w:unhideWhenUsed/>
    <w:rsid w:val="003B2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AD4"/>
  </w:style>
  <w:style w:type="character" w:styleId="Refdecomentario">
    <w:name w:val="annotation reference"/>
    <w:basedOn w:val="Fuentedeprrafopredeter"/>
    <w:uiPriority w:val="99"/>
    <w:semiHidden/>
    <w:unhideWhenUsed/>
    <w:rsid w:val="00ED4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4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43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0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3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1CA8-7C48-4C0A-BFDC-A0FD8EB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Morales</dc:creator>
  <cp:keywords/>
  <dc:description/>
  <cp:lastModifiedBy>Rodolfo Morales</cp:lastModifiedBy>
  <cp:revision>2</cp:revision>
  <dcterms:created xsi:type="dcterms:W3CDTF">2024-02-22T19:16:00Z</dcterms:created>
  <dcterms:modified xsi:type="dcterms:W3CDTF">2024-02-22T19:16:00Z</dcterms:modified>
</cp:coreProperties>
</file>